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E3AB" w14:textId="0F0960E2" w:rsidR="00BF5437" w:rsidRDefault="00963681" w:rsidP="00BF5437">
      <w:pPr>
        <w:pStyle w:val="11"/>
        <w:keepNext/>
        <w:keepLines/>
        <w:jc w:val="center"/>
        <w:rPr>
          <w:rFonts w:ascii="Times New Roman" w:hAnsi="Times New Roman" w:cs="Times New Roman"/>
          <w:sz w:val="28"/>
          <w:szCs w:val="28"/>
        </w:rPr>
      </w:pPr>
      <w:bookmarkStart w:id="0" w:name="bookmark0"/>
      <w:bookmarkStart w:id="1" w:name="bookmark2"/>
      <w:r>
        <w:rPr>
          <w:rFonts w:ascii="Times New Roman" w:hAnsi="Times New Roman" w:cs="Times New Roman"/>
          <w:sz w:val="28"/>
          <w:szCs w:val="28"/>
        </w:rPr>
        <w:t>Р</w:t>
      </w:r>
      <w:r w:rsidR="00BF5437">
        <w:rPr>
          <w:rFonts w:ascii="Times New Roman" w:hAnsi="Times New Roman" w:cs="Times New Roman"/>
          <w:sz w:val="28"/>
          <w:szCs w:val="28"/>
        </w:rPr>
        <w:t>екомендації органам місцевого самоврядування</w:t>
      </w:r>
      <w:r>
        <w:rPr>
          <w:rFonts w:ascii="Times New Roman" w:hAnsi="Times New Roman" w:cs="Times New Roman"/>
          <w:sz w:val="28"/>
          <w:szCs w:val="28"/>
        </w:rPr>
        <w:t xml:space="preserve"> з питань виконання повноважень у екологічній сфері</w:t>
      </w:r>
    </w:p>
    <w:bookmarkEnd w:id="1"/>
    <w:p w14:paraId="34C8E65D" w14:textId="77777777" w:rsidR="00BF5437" w:rsidRPr="00BF5437" w:rsidRDefault="00BF5437" w:rsidP="00BF5437">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На сьогодні більшість територіальних громад вважають своїм основним завданням навести лад із відходами, в основному твердими побутовими відходами (ТПВ) та забезпечити належну очистку каналізаційних вод. В результаті агресії </w:t>
      </w:r>
      <w:proofErr w:type="spellStart"/>
      <w:r w:rsidRPr="00BF5437">
        <w:rPr>
          <w:rFonts w:ascii="Times New Roman" w:hAnsi="Times New Roman" w:cs="Times New Roman"/>
          <w:sz w:val="28"/>
          <w:szCs w:val="28"/>
        </w:rPr>
        <w:t>рф</w:t>
      </w:r>
      <w:proofErr w:type="spellEnd"/>
      <w:r w:rsidRPr="00BF5437">
        <w:rPr>
          <w:rFonts w:ascii="Times New Roman" w:hAnsi="Times New Roman" w:cs="Times New Roman"/>
          <w:sz w:val="28"/>
          <w:szCs w:val="28"/>
        </w:rPr>
        <w:t xml:space="preserve"> до таких завдань ще додається відбудова знищеної інфраструктури, поводження із відходами від руйнації, а також доля земель, що піддавалися обстрілам і можуть бути небезпечними для подальшого сільськогосподарського використання. І це не виключний перелік всіх викликів, які громадам слід подолати.</w:t>
      </w:r>
    </w:p>
    <w:p w14:paraId="1A3A4CE9" w14:textId="36EA331B" w:rsidR="00BF5437" w:rsidRPr="00BF5437" w:rsidRDefault="00BF5437" w:rsidP="00BF5437">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Дуже важливим завданням громад та відповідних рад є збереження та раціональне використання природних ресурсів, які є на території громад: водних об'єктів, лісових ресурсів, зелених зон, корисних копалин, земельних ресурсів та пам’яток історії, культури та природи. Розвиток громад повинен враховувати необхідність збалансованого розвитку, при якому буде забезпечуватися економічний ріст, забезпечення соціального захисту та збереження довкілля та невиснажливе використання природних ресурсів. Війна нам додатково нагадала, що природні ресурси, викопне паливо слід </w:t>
      </w:r>
      <w:proofErr w:type="spellStart"/>
      <w:r w:rsidRPr="00BF5437">
        <w:rPr>
          <w:rFonts w:ascii="Times New Roman" w:hAnsi="Times New Roman" w:cs="Times New Roman"/>
          <w:sz w:val="28"/>
          <w:szCs w:val="28"/>
        </w:rPr>
        <w:t>ощадливо</w:t>
      </w:r>
      <w:proofErr w:type="spellEnd"/>
      <w:r w:rsidRPr="00BF5437">
        <w:rPr>
          <w:rFonts w:ascii="Times New Roman" w:hAnsi="Times New Roman" w:cs="Times New Roman"/>
          <w:sz w:val="28"/>
          <w:szCs w:val="28"/>
        </w:rPr>
        <w:t xml:space="preserve"> використовувати, а непоновні енергетичні ресурси слід заміняти альтернативними джерелами енергії. Також лісові та земельні ресурси, водні ресурси є основою нашої продовольчої та енергетичної безпеки, а їх збереження принесе не тільки економічні переваги, але і дозволить адаптуватися до таких очевидних змін клімату. Тому, планування соціально-економічного розвитку громад повинно враховувати і обмеження щодо використання невідновлювальних природних ресурсів, і ризики від зміни клімату, і наявні екологічні проблеми та важливість елементів довкілля для здоров'я та добробуту місцевих територіальних громад. Так, громадам важливо дихати чистим повітрям, для цього не слід знищувати ліси довкола сіл та міст, жителям важливо мати чисту воду для поливу та споживання, для цього не слід виснажувати поверхневі води та підземні водоносні горизонти, </w:t>
      </w:r>
      <w:proofErr w:type="spellStart"/>
      <w:r w:rsidRPr="00BF5437">
        <w:rPr>
          <w:rFonts w:ascii="Times New Roman" w:hAnsi="Times New Roman" w:cs="Times New Roman"/>
          <w:sz w:val="28"/>
          <w:szCs w:val="28"/>
        </w:rPr>
        <w:t>ощадливо</w:t>
      </w:r>
      <w:proofErr w:type="spellEnd"/>
      <w:r w:rsidRPr="00BF5437">
        <w:rPr>
          <w:rFonts w:ascii="Times New Roman" w:hAnsi="Times New Roman" w:cs="Times New Roman"/>
          <w:sz w:val="28"/>
          <w:szCs w:val="28"/>
        </w:rPr>
        <w:t xml:space="preserve"> використовувати воду в періоди спеки та посухи, уникати поверхневого забруднення вод та </w:t>
      </w:r>
      <w:proofErr w:type="spellStart"/>
      <w:r w:rsidRPr="00BF5437">
        <w:rPr>
          <w:rFonts w:ascii="Times New Roman" w:hAnsi="Times New Roman" w:cs="Times New Roman"/>
          <w:sz w:val="28"/>
          <w:szCs w:val="28"/>
        </w:rPr>
        <w:t>грунтів</w:t>
      </w:r>
      <w:proofErr w:type="spellEnd"/>
      <w:r w:rsidRPr="00BF5437">
        <w:rPr>
          <w:rFonts w:ascii="Times New Roman" w:hAnsi="Times New Roman" w:cs="Times New Roman"/>
          <w:sz w:val="28"/>
          <w:szCs w:val="28"/>
        </w:rPr>
        <w:t xml:space="preserve">. Чистота та родючість </w:t>
      </w:r>
      <w:proofErr w:type="spellStart"/>
      <w:r w:rsidRPr="00BF5437">
        <w:rPr>
          <w:rFonts w:ascii="Times New Roman" w:hAnsi="Times New Roman" w:cs="Times New Roman"/>
          <w:sz w:val="28"/>
          <w:szCs w:val="28"/>
        </w:rPr>
        <w:t>грунтів</w:t>
      </w:r>
      <w:proofErr w:type="spellEnd"/>
      <w:r w:rsidRPr="00BF5437">
        <w:rPr>
          <w:rFonts w:ascii="Times New Roman" w:hAnsi="Times New Roman" w:cs="Times New Roman"/>
          <w:sz w:val="28"/>
          <w:szCs w:val="28"/>
        </w:rPr>
        <w:t xml:space="preserve"> є тією цінністю, яка зумовлює добробут громади, здоров’я її жителів та забезпечує продовольчу безпеку, тому і повинна підлягати особливій охороні з боку органів місцевого самоврядування та землекористувачів.</w:t>
      </w:r>
    </w:p>
    <w:p w14:paraId="49A5594A" w14:textId="51B76587" w:rsidR="00BF5437" w:rsidRPr="00BF5437" w:rsidRDefault="00BF5437" w:rsidP="00BF5437">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lastRenderedPageBreak/>
        <w:t xml:space="preserve">Дуже важливо, щоб громади при розробці своїх програм розвитку, використовували </w:t>
      </w:r>
      <w:proofErr w:type="spellStart"/>
      <w:r w:rsidRPr="00BF5437">
        <w:rPr>
          <w:rFonts w:ascii="Times New Roman" w:hAnsi="Times New Roman" w:cs="Times New Roman"/>
          <w:sz w:val="28"/>
          <w:szCs w:val="28"/>
        </w:rPr>
        <w:t>природоорієнтовані</w:t>
      </w:r>
      <w:proofErr w:type="spellEnd"/>
      <w:r w:rsidRPr="00BF5437">
        <w:rPr>
          <w:rFonts w:ascii="Times New Roman" w:hAnsi="Times New Roman" w:cs="Times New Roman"/>
          <w:sz w:val="28"/>
          <w:szCs w:val="28"/>
        </w:rPr>
        <w:t xml:space="preserve"> рішення для запобігання та зменшення забруднення повітря, збереження біорізноманіття, забезпечення якості природних вод, відновлення природних територій, захисту населення від кліматичних та техногенних ризиків (повеней, </w:t>
      </w:r>
      <w:proofErr w:type="spellStart"/>
      <w:r w:rsidRPr="00BF5437">
        <w:rPr>
          <w:rFonts w:ascii="Times New Roman" w:hAnsi="Times New Roman" w:cs="Times New Roman"/>
          <w:sz w:val="28"/>
          <w:szCs w:val="28"/>
        </w:rPr>
        <w:t>посух</w:t>
      </w:r>
      <w:proofErr w:type="spellEnd"/>
      <w:r w:rsidRPr="00BF5437">
        <w:rPr>
          <w:rFonts w:ascii="Times New Roman" w:hAnsi="Times New Roman" w:cs="Times New Roman"/>
          <w:sz w:val="28"/>
          <w:szCs w:val="28"/>
        </w:rPr>
        <w:t xml:space="preserve">, буревіїв, шкідників, епідемій, тощо). Саме такі підходи часто є </w:t>
      </w:r>
      <w:proofErr w:type="spellStart"/>
      <w:r w:rsidRPr="00BF5437">
        <w:rPr>
          <w:rFonts w:ascii="Times New Roman" w:hAnsi="Times New Roman" w:cs="Times New Roman"/>
          <w:sz w:val="28"/>
          <w:szCs w:val="28"/>
        </w:rPr>
        <w:t>ресурсоефективними</w:t>
      </w:r>
      <w:proofErr w:type="spellEnd"/>
      <w:r w:rsidRPr="00BF5437">
        <w:rPr>
          <w:rFonts w:ascii="Times New Roman" w:hAnsi="Times New Roman" w:cs="Times New Roman"/>
          <w:sz w:val="28"/>
          <w:szCs w:val="28"/>
        </w:rPr>
        <w:t xml:space="preserve">, фінансово доступними та такими, що забезпечать довготривалий результат. Для вироблення в громад, бізнесу та місцевих органів влади розуміння важливості таких рішень, необхідності </w:t>
      </w:r>
      <w:proofErr w:type="spellStart"/>
      <w:r w:rsidRPr="00BF5437">
        <w:rPr>
          <w:rFonts w:ascii="Times New Roman" w:hAnsi="Times New Roman" w:cs="Times New Roman"/>
          <w:sz w:val="28"/>
          <w:szCs w:val="28"/>
        </w:rPr>
        <w:t>впроваждення</w:t>
      </w:r>
      <w:proofErr w:type="spellEnd"/>
      <w:r w:rsidRPr="00BF5437">
        <w:rPr>
          <w:rFonts w:ascii="Times New Roman" w:hAnsi="Times New Roman" w:cs="Times New Roman"/>
          <w:sz w:val="28"/>
          <w:szCs w:val="28"/>
        </w:rPr>
        <w:t xml:space="preserve"> та підтримки зелених інвестицій та інновацій, слід звертати увагу на інформаційно-просвітницькі заходи, активно співпрацювати із громадянським суспільством, міжнародними партнерами, донорами.</w:t>
      </w:r>
    </w:p>
    <w:p w14:paraId="675F5322" w14:textId="14026D4C" w:rsidR="00BF5437" w:rsidRPr="00BF5437" w:rsidRDefault="00BF5437" w:rsidP="00BF5437">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Україна на політичному рівні декларує </w:t>
      </w:r>
      <w:proofErr w:type="spellStart"/>
      <w:r w:rsidRPr="00BF5437">
        <w:rPr>
          <w:rFonts w:ascii="Times New Roman" w:hAnsi="Times New Roman" w:cs="Times New Roman"/>
          <w:sz w:val="28"/>
          <w:szCs w:val="28"/>
        </w:rPr>
        <w:t>доєднання</w:t>
      </w:r>
      <w:proofErr w:type="spellEnd"/>
      <w:r w:rsidRPr="00BF5437">
        <w:rPr>
          <w:rFonts w:ascii="Times New Roman" w:hAnsi="Times New Roman" w:cs="Times New Roman"/>
          <w:sz w:val="28"/>
          <w:szCs w:val="28"/>
        </w:rPr>
        <w:t xml:space="preserve"> до Європейського зеленого курсу (ЄЗК), який передбачає перехід до кругової економіки, зменшення обсягів викидів, мінімізація забруднення, кліматичну нейтральність, перехід до органічного сільського господарства, залучення відходів</w:t>
      </w:r>
      <w:r>
        <w:rPr>
          <w:rFonts w:ascii="Times New Roman" w:hAnsi="Times New Roman" w:cs="Times New Roman"/>
          <w:sz w:val="28"/>
          <w:szCs w:val="28"/>
        </w:rPr>
        <w:t xml:space="preserve"> </w:t>
      </w:r>
      <w:r w:rsidRPr="00BF5437">
        <w:rPr>
          <w:rFonts w:ascii="Times New Roman" w:hAnsi="Times New Roman" w:cs="Times New Roman"/>
          <w:sz w:val="28"/>
          <w:szCs w:val="28"/>
        </w:rPr>
        <w:t>у виробництво, інновації та зелені інвестиції. Тому, дороговказом для місцевих громад можуть стати проекти та стратегічні документи, що приймаються в Європейському Союзі на виконання ЄЗК. Також слідування ЄЗК та розробка проектів, що будуть відповідати цілям та завданням ЄЗК дозволить підвищити шанси на отримання фінансування чи залучити європейського інвестора.</w:t>
      </w:r>
    </w:p>
    <w:p w14:paraId="3B593482" w14:textId="48F4B011" w:rsidR="00BF5437" w:rsidRPr="00BF5437" w:rsidRDefault="00BF5437" w:rsidP="00BF5437">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t>Отож, в сфері захисту довкілля виділяють</w:t>
      </w:r>
      <w:r w:rsidRPr="00BF5437">
        <w:rPr>
          <w:rFonts w:ascii="Times New Roman" w:hAnsi="Times New Roman" w:cs="Times New Roman"/>
          <w:sz w:val="28"/>
          <w:szCs w:val="28"/>
        </w:rPr>
        <w:t>ся</w:t>
      </w:r>
      <w:r w:rsidRPr="00BF5437">
        <w:rPr>
          <w:rFonts w:ascii="Times New Roman" w:hAnsi="Times New Roman" w:cs="Times New Roman"/>
          <w:sz w:val="28"/>
          <w:szCs w:val="28"/>
        </w:rPr>
        <w:t xml:space="preserve"> такі першочергові проблеми: забруднення ресурсів, забруднення повітря, забруднення довкілля відходами та неналежне поводження з відходами</w:t>
      </w:r>
      <w:r>
        <w:rPr>
          <w:rFonts w:ascii="Times New Roman" w:hAnsi="Times New Roman" w:cs="Times New Roman"/>
          <w:sz w:val="28"/>
          <w:szCs w:val="28"/>
        </w:rPr>
        <w:t xml:space="preserve">. </w:t>
      </w:r>
      <w:r w:rsidRPr="00BF5437">
        <w:rPr>
          <w:rFonts w:ascii="Times New Roman" w:hAnsi="Times New Roman" w:cs="Times New Roman"/>
          <w:sz w:val="28"/>
          <w:szCs w:val="28"/>
        </w:rPr>
        <w:t>Тому, органи місцевого самоврядування повинні спрямовувати свої зусилля на вирішення вказаних проблем, із врахуванням особливостей своєї громади.</w:t>
      </w:r>
    </w:p>
    <w:p w14:paraId="684040C8" w14:textId="6A817031" w:rsidR="00BF5437" w:rsidRPr="00BF5437" w:rsidRDefault="00BF5437" w:rsidP="00BF5437">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t>В переважній більшості випадків, громади мають проблеми із управлінням твердими побутовими відходами (ТПВ). А з початком військової агресії, ці проблеми ще більше посилилися, адже в</w:t>
      </w:r>
      <w:r>
        <w:rPr>
          <w:rFonts w:ascii="Times New Roman" w:hAnsi="Times New Roman" w:cs="Times New Roman"/>
          <w:sz w:val="28"/>
          <w:szCs w:val="28"/>
        </w:rPr>
        <w:t>ій</w:t>
      </w:r>
      <w:r w:rsidRPr="00BF5437">
        <w:rPr>
          <w:rFonts w:ascii="Times New Roman" w:hAnsi="Times New Roman" w:cs="Times New Roman"/>
          <w:sz w:val="28"/>
          <w:szCs w:val="28"/>
        </w:rPr>
        <w:t xml:space="preserve">на внесла свої корективи в логістику збору, зберігання, переробки та видалення ТПВ в багатьох регіонах України, десь такі послуги і не будуть потрібні через відсутність утворювачів відходів, десь послуги вивезення та </w:t>
      </w:r>
      <w:proofErr w:type="spellStart"/>
      <w:r w:rsidRPr="00BF5437">
        <w:rPr>
          <w:rFonts w:ascii="Times New Roman" w:hAnsi="Times New Roman" w:cs="Times New Roman"/>
          <w:sz w:val="28"/>
          <w:szCs w:val="28"/>
          <w:lang w:eastAsia="ru-RU" w:bidi="ru-RU"/>
        </w:rPr>
        <w:t>захоронения</w:t>
      </w:r>
      <w:proofErr w:type="spellEnd"/>
      <w:r w:rsidRPr="00BF5437">
        <w:rPr>
          <w:rFonts w:ascii="Times New Roman" w:hAnsi="Times New Roman" w:cs="Times New Roman"/>
          <w:sz w:val="28"/>
          <w:szCs w:val="28"/>
          <w:lang w:eastAsia="ru-RU" w:bidi="ru-RU"/>
        </w:rPr>
        <w:t xml:space="preserve"> </w:t>
      </w:r>
      <w:r w:rsidRPr="00BF5437">
        <w:rPr>
          <w:rFonts w:ascii="Times New Roman" w:hAnsi="Times New Roman" w:cs="Times New Roman"/>
          <w:sz w:val="28"/>
          <w:szCs w:val="28"/>
        </w:rPr>
        <w:t xml:space="preserve">відходів взагалі не надавалися, особливо в час війни, </w:t>
      </w:r>
      <w:r w:rsidRPr="00BF5437">
        <w:rPr>
          <w:rFonts w:ascii="Times New Roman" w:hAnsi="Times New Roman" w:cs="Times New Roman"/>
          <w:sz w:val="28"/>
          <w:szCs w:val="28"/>
          <w:lang w:eastAsia="ru-RU" w:bidi="ru-RU"/>
        </w:rPr>
        <w:t xml:space="preserve">тому перед органами </w:t>
      </w:r>
      <w:r w:rsidRPr="00BF5437">
        <w:rPr>
          <w:rFonts w:ascii="Times New Roman" w:hAnsi="Times New Roman" w:cs="Times New Roman"/>
          <w:sz w:val="28"/>
          <w:szCs w:val="28"/>
        </w:rPr>
        <w:t xml:space="preserve">місцевого самоврядування стоїть важливе </w:t>
      </w:r>
      <w:r w:rsidRPr="00BF5437">
        <w:rPr>
          <w:rFonts w:ascii="Times New Roman" w:hAnsi="Times New Roman" w:cs="Times New Roman"/>
          <w:sz w:val="28"/>
          <w:szCs w:val="28"/>
        </w:rPr>
        <w:lastRenderedPageBreak/>
        <w:t xml:space="preserve">завдання налагодити майже з нуля логістику поводження з ТПВ. Для цього слід обрати, разом із іншими громадами, місце спорудження сучасного полігону для ТПВ з розрахунку 1-2 на область, облаштувати такі полігони, обладнати їх сортувальними лініями, облаштувати в великих громадах місця тимчасового зберігання та сортування відходів на категорії, обладнати в населених пунктах контейнерні майданчики для збору змішаних відходів і </w:t>
      </w:r>
      <w:proofErr w:type="spellStart"/>
      <w:r w:rsidRPr="00BF5437">
        <w:rPr>
          <w:rFonts w:ascii="Times New Roman" w:hAnsi="Times New Roman" w:cs="Times New Roman"/>
          <w:sz w:val="28"/>
          <w:szCs w:val="28"/>
        </w:rPr>
        <w:t>вторсировини</w:t>
      </w:r>
      <w:proofErr w:type="spellEnd"/>
      <w:r w:rsidRPr="00BF5437">
        <w:rPr>
          <w:rFonts w:ascii="Times New Roman" w:hAnsi="Times New Roman" w:cs="Times New Roman"/>
          <w:sz w:val="28"/>
          <w:szCs w:val="28"/>
        </w:rPr>
        <w:t xml:space="preserve">, а також забезпечити збір інших категорій відходів, в тому числі небезпечних, великогабаритних, будівельних, тощо. Визначити потреби в сміттєвозах та вантажних авто, залучати необхідний транспорт та планувати його закупівлю в кількостях, що необхідні для конкретної громади. За основу такої логістики слід взяти дані, що передбачені проектами регіональних планів управління відходами, що готувалися в довоєнний період обласними державними адміністраціями. Створення об’єктів переробки </w:t>
      </w:r>
      <w:proofErr w:type="spellStart"/>
      <w:r w:rsidRPr="00BF5437">
        <w:rPr>
          <w:rFonts w:ascii="Times New Roman" w:hAnsi="Times New Roman" w:cs="Times New Roman"/>
          <w:sz w:val="28"/>
          <w:szCs w:val="28"/>
        </w:rPr>
        <w:t>вторсировини</w:t>
      </w:r>
      <w:proofErr w:type="spellEnd"/>
      <w:r w:rsidRPr="00BF5437">
        <w:rPr>
          <w:rFonts w:ascii="Times New Roman" w:hAnsi="Times New Roman" w:cs="Times New Roman"/>
          <w:sz w:val="28"/>
          <w:szCs w:val="28"/>
        </w:rPr>
        <w:t xml:space="preserve"> може стати завданням для нових сучасних інвестиційних проектів та ідей, інноваційних технологій, також екологічно безпечне застосування різних категорій відходів в розбудові та відбудові, в нових виробництвах та процесах має бути заохочено на всіх рівнях. Планування управління відходами на місцевому рівні має базуватися на європейській ієрархії управління відходами (у порядку пріоритетності):</w:t>
      </w:r>
    </w:p>
    <w:p w14:paraId="04022588" w14:textId="6BFFC028" w:rsidR="00BF5437" w:rsidRPr="00BF5437" w:rsidRDefault="00BF5437" w:rsidP="00BF5437">
      <w:pPr>
        <w:pStyle w:val="1"/>
        <w:spacing w:line="314" w:lineRule="auto"/>
        <w:jc w:val="both"/>
        <w:rPr>
          <w:rFonts w:ascii="Times New Roman" w:hAnsi="Times New Roman" w:cs="Times New Roman"/>
          <w:sz w:val="28"/>
          <w:szCs w:val="28"/>
        </w:rPr>
      </w:pPr>
      <w:r w:rsidRPr="00BF5437">
        <w:rPr>
          <w:rFonts w:ascii="Times New Roman" w:hAnsi="Times New Roman" w:cs="Times New Roman"/>
          <w:sz w:val="28"/>
          <w:szCs w:val="28"/>
        </w:rPr>
        <w:t xml:space="preserve">1) запобігання утворенню відходів; 2) підготовки відходів до повторного використання; 3) </w:t>
      </w:r>
      <w:proofErr w:type="spellStart"/>
      <w:r w:rsidRPr="00BF5437">
        <w:rPr>
          <w:rFonts w:ascii="Times New Roman" w:hAnsi="Times New Roman" w:cs="Times New Roman"/>
          <w:sz w:val="28"/>
          <w:szCs w:val="28"/>
        </w:rPr>
        <w:t>рециклінгу</w:t>
      </w:r>
      <w:proofErr w:type="spellEnd"/>
      <w:r w:rsidRPr="00BF5437">
        <w:rPr>
          <w:rFonts w:ascii="Times New Roman" w:hAnsi="Times New Roman" w:cs="Times New Roman"/>
          <w:sz w:val="28"/>
          <w:szCs w:val="28"/>
        </w:rPr>
        <w:t xml:space="preserve">; 4) відновлення відходів (утому числі виробництва енергії); 5) видалення відходів. </w:t>
      </w:r>
    </w:p>
    <w:p w14:paraId="616682F5" w14:textId="1D937804" w:rsidR="00BF5437" w:rsidRPr="00BF5437" w:rsidRDefault="00BF5437" w:rsidP="0028040C">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t>Необхідність в забезпеченні якісного водопостачання та водовідведення в громадах є очевидною, та налагодження культури нецентралізованого водовідведення, беручи до уваги також і прийняття у 2023 році довгоочікуваного Закону «Про водовідведення та очищення стічних вод». Зазвичай, найбільшою проблемою для місцевих рад є відсутність фінансування на розробку проектно- кошторисної документації та самих будівельних робіт, а також низька екологічна свідомість жителів громади, та нерозумін</w:t>
      </w:r>
      <w:r w:rsidR="0028040C">
        <w:rPr>
          <w:rFonts w:ascii="Times New Roman" w:hAnsi="Times New Roman" w:cs="Times New Roman"/>
          <w:sz w:val="28"/>
          <w:szCs w:val="28"/>
        </w:rPr>
        <w:t>н</w:t>
      </w:r>
      <w:r w:rsidRPr="00BF5437">
        <w:rPr>
          <w:rFonts w:ascii="Times New Roman" w:hAnsi="Times New Roman" w:cs="Times New Roman"/>
          <w:sz w:val="28"/>
          <w:szCs w:val="28"/>
        </w:rPr>
        <w:t xml:space="preserve">я важливості очищення каналізаційних стоків, стічних вод перед їх скидом у природні водні об’єкти. </w:t>
      </w:r>
    </w:p>
    <w:p w14:paraId="34BAE5D1" w14:textId="02DB168F" w:rsidR="00BF5437" w:rsidRPr="00BF5437" w:rsidRDefault="00BF5437" w:rsidP="00BF5437">
      <w:pPr>
        <w:pStyle w:val="1"/>
        <w:spacing w:line="314" w:lineRule="auto"/>
        <w:jc w:val="both"/>
        <w:rPr>
          <w:rFonts w:ascii="Times New Roman" w:hAnsi="Times New Roman" w:cs="Times New Roman"/>
          <w:sz w:val="28"/>
          <w:szCs w:val="28"/>
        </w:rPr>
      </w:pPr>
      <w:r w:rsidRPr="00BF5437">
        <w:rPr>
          <w:rFonts w:ascii="Times New Roman" w:hAnsi="Times New Roman" w:cs="Times New Roman"/>
          <w:sz w:val="28"/>
          <w:szCs w:val="28"/>
        </w:rPr>
        <w:t xml:space="preserve">Дуже важливим в громадах є збереження природних територій, зокрема шляхом створення та дотримання режимів об'єктів природно-заповідного фонду (ПЗФ). На сьогодні громади через розпорядження землями громад мають майже необмежені можливості здійснювати заповідання цінних природних територій, </w:t>
      </w:r>
      <w:r w:rsidRPr="00BF5437">
        <w:rPr>
          <w:rFonts w:ascii="Times New Roman" w:hAnsi="Times New Roman" w:cs="Times New Roman"/>
          <w:sz w:val="28"/>
          <w:szCs w:val="28"/>
        </w:rPr>
        <w:lastRenderedPageBreak/>
        <w:t>які ще не зазнали антропогенного впливу. Часто такими територіями є землі запасу, пасовища, лісові ділянки, землі водного фонду. Через прийняття рішень про погодження створення об'єктів ПЗФ, громади зберігають природу, рідкісні види рослин та тварин, унікальні ландшафти, водні ресурси, але поряд з тим — і сприяють підвищенню добробуту громадян: адже повне знищення природи означає остаточне перетворення території громади в аграрну пустелю чи бетонні нетрі. Природні пасовища, важливі для мешкання комах запилювачів та регулювання клімату. Уже зараз кількість природи та рівень її збереження є одним з важливих індикаторів рівня життя громади.</w:t>
      </w:r>
    </w:p>
    <w:p w14:paraId="010F6396" w14:textId="29FD10BE" w:rsidR="00BF5437" w:rsidRPr="00BF5437" w:rsidRDefault="00BF5437" w:rsidP="0028040C">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При реалізації повноважень громадами по управлінню земельними ресурсами, слід пам'ятати, що важливо зберігати торфовища, адже вони є найефективнішими наземними екосистемами для зберігання вуглецю — вони накопичують і зберігають атмосферний вуглець тисячі років. Осушення заболочених земель здійснюють часто з метою їх використання в сільському господарстві, в тому числі під оранку. При осушенні торфовища втрачається його роль як природного фільтру та накопичувана води — воно очищує та накопичує воду як губка при </w:t>
      </w:r>
      <w:r w:rsidRPr="00BF5437">
        <w:rPr>
          <w:rFonts w:ascii="Times New Roman" w:hAnsi="Times New Roman" w:cs="Times New Roman"/>
          <w:sz w:val="28"/>
          <w:szCs w:val="28"/>
          <w:lang w:eastAsia="ru-RU" w:bidi="ru-RU"/>
        </w:rPr>
        <w:t xml:space="preserve">паводках </w:t>
      </w:r>
      <w:r w:rsidRPr="00BF5437">
        <w:rPr>
          <w:rFonts w:ascii="Times New Roman" w:hAnsi="Times New Roman" w:cs="Times New Roman"/>
          <w:sz w:val="28"/>
          <w:szCs w:val="28"/>
        </w:rPr>
        <w:t xml:space="preserve">і значних опадах — та повільно «віддає» її у </w:t>
      </w:r>
      <w:proofErr w:type="spellStart"/>
      <w:r w:rsidRPr="00BF5437">
        <w:rPr>
          <w:rFonts w:ascii="Times New Roman" w:hAnsi="Times New Roman" w:cs="Times New Roman"/>
          <w:sz w:val="28"/>
          <w:szCs w:val="28"/>
        </w:rPr>
        <w:t>грунтові</w:t>
      </w:r>
      <w:proofErr w:type="spellEnd"/>
      <w:r w:rsidRPr="00BF5437">
        <w:rPr>
          <w:rFonts w:ascii="Times New Roman" w:hAnsi="Times New Roman" w:cs="Times New Roman"/>
          <w:sz w:val="28"/>
          <w:szCs w:val="28"/>
        </w:rPr>
        <w:t xml:space="preserve"> води та русла річок, поповнюючи запаси води, придатної до спо</w:t>
      </w:r>
      <w:r w:rsidRPr="00BF5437">
        <w:rPr>
          <w:rFonts w:ascii="Times New Roman" w:hAnsi="Times New Roman" w:cs="Times New Roman"/>
          <w:sz w:val="28"/>
          <w:szCs w:val="28"/>
        </w:rPr>
        <w:softHyphen/>
        <w:t>живання. Річки, збережені у природному, або наближеному до природного стані, з прибережними заболоченими територіями, мають високу здатність до самоочищення. Однак, якщо болота, що створюють буферні зони між річкою та сільськогосподарськими угіддями знищуються, біогенні елементи — азот і фосфор, що походять з добрив, змиваються разом з дощами безпосередньо до річок. Як наслідок, у воді розмножуються синьо-зелені водорості та спостерігається «цвітіння води». Тому, торфовища сприяють мінімізації наслідків паводків та повеней, екстремальних опадів, а також запобігають забрудненню річок та озер пестицидами та агрохімікатами.</w:t>
      </w:r>
    </w:p>
    <w:p w14:paraId="466C311B" w14:textId="55B3D1E6" w:rsidR="00BF5437" w:rsidRPr="00BF5437" w:rsidRDefault="00BF5437" w:rsidP="0028040C">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Торф в природному стані на відміну від інших видів твердих горючих копалин сильно обводнений. Про це особливо важливо пам’ятати сьогодні — коли посухи і нестача води стають все більш поширеними явищами. Проблема осушення торфовищ також тісно пов’язана з проблемою зникнення малих і зниження водності середніх і великих річок. Оскільки більшість рівнинних річок беруть початок саме у великих болотних масивах, які нині осушені, річкам просто ніде взяти воду, щоб забезпечити нормальний стік, особливо в умовах </w:t>
      </w:r>
      <w:r w:rsidRPr="00BF5437">
        <w:rPr>
          <w:rFonts w:ascii="Times New Roman" w:hAnsi="Times New Roman" w:cs="Times New Roman"/>
          <w:sz w:val="28"/>
          <w:szCs w:val="28"/>
        </w:rPr>
        <w:lastRenderedPageBreak/>
        <w:t xml:space="preserve">коли рівень </w:t>
      </w:r>
      <w:proofErr w:type="spellStart"/>
      <w:r w:rsidRPr="00BF5437">
        <w:rPr>
          <w:rFonts w:ascii="Times New Roman" w:hAnsi="Times New Roman" w:cs="Times New Roman"/>
          <w:sz w:val="28"/>
          <w:szCs w:val="28"/>
        </w:rPr>
        <w:t>зарегульованості</w:t>
      </w:r>
      <w:proofErr w:type="spellEnd"/>
      <w:r w:rsidRPr="00BF5437">
        <w:rPr>
          <w:rFonts w:ascii="Times New Roman" w:hAnsi="Times New Roman" w:cs="Times New Roman"/>
          <w:sz w:val="28"/>
          <w:szCs w:val="28"/>
        </w:rPr>
        <w:t xml:space="preserve"> цих річок перевищує усі можливі норми, а рівень надходження води з повеневими водами і опадами знижується кожного року, у тому числі, через глобальні зміни клімату. Торфові пожежі призводять до прямої втрати торфу та болотної рослинності, та до величезних обсягів викидів СО</w:t>
      </w:r>
      <w:r w:rsidRPr="00BF5437">
        <w:rPr>
          <w:rFonts w:ascii="Times New Roman" w:hAnsi="Times New Roman" w:cs="Times New Roman"/>
          <w:sz w:val="28"/>
          <w:szCs w:val="28"/>
          <w:vertAlign w:val="subscript"/>
        </w:rPr>
        <w:t>2</w:t>
      </w:r>
      <w:r w:rsidRPr="00BF5437">
        <w:rPr>
          <w:rFonts w:ascii="Times New Roman" w:hAnsi="Times New Roman" w:cs="Times New Roman"/>
          <w:sz w:val="28"/>
          <w:szCs w:val="28"/>
        </w:rPr>
        <w:t>. Осушені торфовища при пожежі горять в усіх напрямках, можуть прогорати в глибину на кілька метрів, а згасити такі пожежі надзвичайно важко і це вимагає величезних кількостей води</w:t>
      </w:r>
      <w:r w:rsidR="0028040C">
        <w:rPr>
          <w:rFonts w:ascii="Times New Roman" w:hAnsi="Times New Roman" w:cs="Times New Roman"/>
          <w:sz w:val="28"/>
          <w:szCs w:val="28"/>
        </w:rPr>
        <w:t>.</w:t>
      </w:r>
      <w:r w:rsidRPr="00BF5437">
        <w:rPr>
          <w:rFonts w:ascii="Times New Roman" w:hAnsi="Times New Roman" w:cs="Times New Roman"/>
          <w:sz w:val="28"/>
          <w:szCs w:val="28"/>
        </w:rPr>
        <w:t xml:space="preserve"> Торфовища є специфічними екосистемами, яким притаманні особливий рослинний і тваринний світ. Видобуток торфу пов’язаний із зняттям верхнього шару торфовища разом з усією рослинністю, викопування дренажних каналів для відводу води та використанням різноманітних машин для подрібнення, просушування та збору торфу. Осушення та видобуток торфу призводить до зміни гідрологічних умов, знищуючи місця існування видів. У флорі України цілий ряд видів рослин зростає лише на торфовищах. Багато видів птахів у надзвичайно освоєному сільським господарством ландшафті України знаходять прихисток саме на болотах. </w:t>
      </w:r>
    </w:p>
    <w:bookmarkEnd w:id="0"/>
    <w:p w14:paraId="0C1E2F87" w14:textId="77777777" w:rsidR="001E07E0" w:rsidRPr="00BF5437" w:rsidRDefault="00000000" w:rsidP="0028040C">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Всі громади потребують в більшій чи меншій мірі проведення інвентаризації земель, оскільки ця процедура стане базисом для подальшого планування розподілу ресурсу, планування надходжень, а також просторового розвитку громади в цілому.</w:t>
      </w:r>
    </w:p>
    <w:p w14:paraId="7D121632" w14:textId="77777777" w:rsidR="001E07E0" w:rsidRPr="00BF5437" w:rsidRDefault="00000000" w:rsidP="0028040C">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t>Одним з основних інструментів, що забезпечує прозорість у галузі земельних правовідносин є інвентаризація земель. Саме цей механізм забезпечує реальний облік земель, відображення їх складу, цільового призначення, площі.</w:t>
      </w:r>
    </w:p>
    <w:p w14:paraId="39EA794C" w14:textId="77777777" w:rsidR="001E07E0" w:rsidRPr="00BF5437" w:rsidRDefault="00000000" w:rsidP="0028040C">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t>Об'єктами інвентаризації земель є територія України, територія адміністративно-територіальних одиниць або їх частин, масив земель сільськогосподарського призначення, окремі земельні ділянки, в тому числі ті, на яких розміщені меліоративні мережі або їх складова частина (складові частини).</w:t>
      </w:r>
    </w:p>
    <w:p w14:paraId="733C1945" w14:textId="77777777" w:rsidR="001E07E0" w:rsidRPr="00BF5437" w:rsidRDefault="00000000" w:rsidP="0028040C">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Інвентаризація земель проводиться в межах адміністративно-територіальних одиниць, територій, межі яких визначені проектами формування територій і встановлення меж сільських, селищних рад, масивів земель сільськогосподарського призначення, окремих земельних ділянок, сукупності земельних ділянок (частин земельних ділянок) сільськогосподарського призначення, гідротехнічна меліорація яких може забезпечуватися </w:t>
      </w:r>
      <w:r w:rsidRPr="00BF5437">
        <w:rPr>
          <w:rFonts w:ascii="Times New Roman" w:hAnsi="Times New Roman" w:cs="Times New Roman"/>
          <w:sz w:val="28"/>
          <w:szCs w:val="28"/>
        </w:rPr>
        <w:lastRenderedPageBreak/>
        <w:t>меліоративною мережею (меліоративними мережами) організації водокористувачів.</w:t>
      </w:r>
    </w:p>
    <w:p w14:paraId="63A262E7" w14:textId="6E883BB2" w:rsidR="001E07E0" w:rsidRPr="00BF5437" w:rsidRDefault="00000000" w:rsidP="0028040C">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Під час проведення інвентаризації земель, державної інвентаризації земель та земельних ділянок можуть використовуватися матеріали дистанційного зондування землі, лісовпорядкування, проекти створення територій та об’єктів природно-заповідного фонду, схеми формування </w:t>
      </w:r>
      <w:proofErr w:type="spellStart"/>
      <w:r w:rsidRPr="00BF5437">
        <w:rPr>
          <w:rFonts w:ascii="Times New Roman" w:hAnsi="Times New Roman" w:cs="Times New Roman"/>
          <w:sz w:val="28"/>
          <w:szCs w:val="28"/>
        </w:rPr>
        <w:t>екомережі</w:t>
      </w:r>
      <w:proofErr w:type="spellEnd"/>
      <w:r w:rsidRPr="00BF5437">
        <w:rPr>
          <w:rFonts w:ascii="Times New Roman" w:hAnsi="Times New Roman" w:cs="Times New Roman"/>
          <w:sz w:val="28"/>
          <w:szCs w:val="28"/>
        </w:rPr>
        <w:t xml:space="preserve">, програми у сфері формування, збереження та використання </w:t>
      </w:r>
      <w:proofErr w:type="spellStart"/>
      <w:r w:rsidRPr="00BF5437">
        <w:rPr>
          <w:rFonts w:ascii="Times New Roman" w:hAnsi="Times New Roman" w:cs="Times New Roman"/>
          <w:sz w:val="28"/>
          <w:szCs w:val="28"/>
        </w:rPr>
        <w:t>екомережі</w:t>
      </w:r>
      <w:proofErr w:type="spellEnd"/>
      <w:r w:rsidRPr="00BF5437">
        <w:rPr>
          <w:rFonts w:ascii="Times New Roman" w:hAnsi="Times New Roman" w:cs="Times New Roman"/>
          <w:sz w:val="28"/>
          <w:szCs w:val="28"/>
        </w:rPr>
        <w:t>, проектної документації на будівництво меліоративної мережі.</w:t>
      </w:r>
    </w:p>
    <w:p w14:paraId="67B9150D" w14:textId="7B66FF04" w:rsidR="001E07E0" w:rsidRPr="00BF5437" w:rsidRDefault="00000000" w:rsidP="0028040C">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Підставою для проведення інвентаризації земель є рішення власників (розпорядників) земельних ділянок або рішення сільських, селищних, міських рад. Рішення про розроблення технічної документації із землеустрою щодо інвентаризації масиву земель сільськогосподарського призначення приймається у порядку, визначеному статтею 35 Закону України «Про землеустрій».</w:t>
      </w:r>
    </w:p>
    <w:p w14:paraId="6617EB62" w14:textId="2BB7ADA9" w:rsidR="001E07E0" w:rsidRPr="00BF5437" w:rsidRDefault="00000000" w:rsidP="00604722">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В ході підготовки документації для проекту інвентаризації та отримання коштів Європейських партнерів на реалізацію вказаного проекту, пропонується в комплексі з інвентаризацією єдиним проектом подавати розроблення програмного забезпечення, що дасть можливість громаді створити, а громадянам та потенційним інвесторам отримати доступ до публічної бази земель громади в розрізі їх категорій, видів цільового призначення, статусу (перебуває у власності або користуванні, із зазначенням терміну користування), що сприятиме прозорому використанню та обліку основного ресурсу громади, а необхідність таких дій буде </w:t>
      </w:r>
      <w:proofErr w:type="spellStart"/>
      <w:r w:rsidRPr="00BF5437">
        <w:rPr>
          <w:rFonts w:ascii="Times New Roman" w:hAnsi="Times New Roman" w:cs="Times New Roman"/>
          <w:sz w:val="28"/>
          <w:szCs w:val="28"/>
        </w:rPr>
        <w:t>обгрунтована</w:t>
      </w:r>
      <w:proofErr w:type="spellEnd"/>
      <w:r w:rsidRPr="00BF5437">
        <w:rPr>
          <w:rFonts w:ascii="Times New Roman" w:hAnsi="Times New Roman" w:cs="Times New Roman"/>
          <w:sz w:val="28"/>
          <w:szCs w:val="28"/>
        </w:rPr>
        <w:t xml:space="preserve"> прозорістю для потенційних партнерів та донорів.</w:t>
      </w:r>
    </w:p>
    <w:p w14:paraId="3EADED50" w14:textId="56B88D91" w:rsidR="001E07E0" w:rsidRPr="00BF5437" w:rsidRDefault="00000000" w:rsidP="00420CEF">
      <w:pPr>
        <w:pStyle w:val="1"/>
        <w:ind w:firstLine="708"/>
        <w:jc w:val="both"/>
        <w:rPr>
          <w:rFonts w:ascii="Times New Roman" w:hAnsi="Times New Roman" w:cs="Times New Roman"/>
          <w:sz w:val="28"/>
          <w:szCs w:val="28"/>
        </w:rPr>
      </w:pPr>
      <w:r w:rsidRPr="00BF5437">
        <w:rPr>
          <w:rFonts w:ascii="Times New Roman" w:hAnsi="Times New Roman" w:cs="Times New Roman"/>
          <w:sz w:val="28"/>
          <w:szCs w:val="28"/>
        </w:rPr>
        <w:t>Громади, що зазнали безпосереднього впливу воєнних дій та/або були під окупацією потребують проведення рекультивації земель, оскільки внаслідок впливу шкідливих процесів землі є непридатними для використання та потребують відновлення. Це сприятиме подальшому ефективному використанню земель та залученню інвестицій.</w:t>
      </w:r>
    </w:p>
    <w:p w14:paraId="096A05AE" w14:textId="526FA357" w:rsidR="001E07E0" w:rsidRPr="00BF5437" w:rsidRDefault="00000000" w:rsidP="00420CEF">
      <w:pPr>
        <w:pStyle w:val="1"/>
        <w:spacing w:line="314" w:lineRule="auto"/>
        <w:ind w:firstLine="708"/>
        <w:jc w:val="both"/>
        <w:rPr>
          <w:rFonts w:ascii="Times New Roman" w:hAnsi="Times New Roman" w:cs="Times New Roman"/>
          <w:sz w:val="28"/>
          <w:szCs w:val="28"/>
        </w:rPr>
      </w:pPr>
      <w:r w:rsidRPr="00BF5437">
        <w:rPr>
          <w:rFonts w:ascii="Times New Roman" w:hAnsi="Times New Roman" w:cs="Times New Roman"/>
          <w:sz w:val="28"/>
          <w:szCs w:val="28"/>
        </w:rPr>
        <w:t xml:space="preserve">Внаслідок російської агресії територіальні громади зазнали і продовжують зазнавати значних втрат та збитків. Громади, як власники природних ресурсів, не можуть зволікати та очікувати фактичного відшкодування, оскільки йде війна. Тому найактуальнішим на сьогодні є питання фіксації шкоди та збитків, завданих бойовими діями або іншими факторами, пов’язаними з російською </w:t>
      </w:r>
      <w:r w:rsidRPr="00BF5437">
        <w:rPr>
          <w:rFonts w:ascii="Times New Roman" w:hAnsi="Times New Roman" w:cs="Times New Roman"/>
          <w:sz w:val="28"/>
          <w:szCs w:val="28"/>
        </w:rPr>
        <w:lastRenderedPageBreak/>
        <w:t>агресією. Адже як би не змінювались методики визначення розміру шкоди та процедури її визнання і відшкодування, вони завжди будуть відштовхуватись від доказів існування такої шкоди.</w:t>
      </w:r>
    </w:p>
    <w:sectPr w:rsidR="001E07E0" w:rsidRPr="00BF5437" w:rsidSect="00BF5437">
      <w:footerReference w:type="default" r:id="rId7"/>
      <w:footnotePr>
        <w:numFmt w:val="upperRoman"/>
      </w:footnotePr>
      <w:pgSz w:w="11900" w:h="16840"/>
      <w:pgMar w:top="1134" w:right="567" w:bottom="1134" w:left="1701" w:header="2801" w:footer="6" w:gutter="0"/>
      <w:pgNumType w:start="2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CA97" w14:textId="77777777" w:rsidR="0057274D" w:rsidRDefault="0057274D">
      <w:r>
        <w:separator/>
      </w:r>
    </w:p>
  </w:endnote>
  <w:endnote w:type="continuationSeparator" w:id="0">
    <w:p w14:paraId="6F7BA9BF" w14:textId="77777777" w:rsidR="0057274D" w:rsidRDefault="0057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A2C0" w14:textId="0A2C4FFC" w:rsidR="001E07E0" w:rsidRDefault="001E07E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582C" w14:textId="77777777" w:rsidR="0057274D" w:rsidRDefault="0057274D">
      <w:r>
        <w:separator/>
      </w:r>
    </w:p>
  </w:footnote>
  <w:footnote w:type="continuationSeparator" w:id="0">
    <w:p w14:paraId="23FE438E" w14:textId="77777777" w:rsidR="0057274D" w:rsidRDefault="0057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3C1"/>
    <w:multiLevelType w:val="multilevel"/>
    <w:tmpl w:val="01EE5E3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0173E"/>
    <w:multiLevelType w:val="multilevel"/>
    <w:tmpl w:val="D746493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E5BAA"/>
    <w:multiLevelType w:val="multilevel"/>
    <w:tmpl w:val="A05A2E2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E87439"/>
    <w:multiLevelType w:val="multilevel"/>
    <w:tmpl w:val="15EC3EC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4D70EE"/>
    <w:multiLevelType w:val="multilevel"/>
    <w:tmpl w:val="2F94939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A114AE"/>
    <w:multiLevelType w:val="multilevel"/>
    <w:tmpl w:val="00F89922"/>
    <w:lvl w:ilvl="0">
      <w:start w:val="1"/>
      <w:numFmt w:val="decimal"/>
      <w:lvlText w:val="%1."/>
      <w:lvlJc w:val="left"/>
      <w:rPr>
        <w:rFonts w:ascii="Arial Black" w:eastAsia="Arial Black" w:hAnsi="Arial Black" w:cs="Arial Black"/>
        <w:b/>
        <w:bCs/>
        <w:i w:val="0"/>
        <w:iCs w:val="0"/>
        <w:smallCaps w:val="0"/>
        <w:strike w:val="0"/>
        <w:color w:val="000000"/>
        <w:spacing w:val="0"/>
        <w:w w:val="100"/>
        <w:position w:val="0"/>
        <w:sz w:val="15"/>
        <w:szCs w:val="15"/>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6203215">
    <w:abstractNumId w:val="3"/>
  </w:num>
  <w:num w:numId="2" w16cid:durableId="1081636005">
    <w:abstractNumId w:val="2"/>
  </w:num>
  <w:num w:numId="3" w16cid:durableId="1159807066">
    <w:abstractNumId w:val="4"/>
  </w:num>
  <w:num w:numId="4" w16cid:durableId="1881701407">
    <w:abstractNumId w:val="1"/>
  </w:num>
  <w:num w:numId="5" w16cid:durableId="2120029844">
    <w:abstractNumId w:val="0"/>
  </w:num>
  <w:num w:numId="6" w16cid:durableId="591864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E0"/>
    <w:rsid w:val="001E07E0"/>
    <w:rsid w:val="0028040C"/>
    <w:rsid w:val="00420CEF"/>
    <w:rsid w:val="0057274D"/>
    <w:rsid w:val="00604722"/>
    <w:rsid w:val="00963681"/>
    <w:rsid w:val="00BF54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A683"/>
  <w15:docId w15:val="{8BE2D3D5-6DFB-4B2C-AEF6-8066A0FC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Arial" w:eastAsia="Arial" w:hAnsi="Arial" w:cs="Arial"/>
      <w:b w:val="0"/>
      <w:bCs w:val="0"/>
      <w:i w:val="0"/>
      <w:iCs w:val="0"/>
      <w:smallCaps w:val="0"/>
      <w:strike w:val="0"/>
      <w:color w:val="365B8A"/>
      <w:sz w:val="12"/>
      <w:szCs w:val="12"/>
      <w:u w:val="single"/>
      <w:lang w:val="en-US" w:eastAsia="en-US" w:bidi="en-US"/>
    </w:rPr>
  </w:style>
  <w:style w:type="character" w:customStyle="1" w:styleId="a5">
    <w:name w:val="Основной текст_"/>
    <w:basedOn w:val="a0"/>
    <w:link w:val="1"/>
    <w:rPr>
      <w:rFonts w:ascii="Arial" w:eastAsia="Arial" w:hAnsi="Arial" w:cs="Arial"/>
      <w:b w:val="0"/>
      <w:bCs w:val="0"/>
      <w:i w:val="0"/>
      <w:iCs w:val="0"/>
      <w:smallCaps w:val="0"/>
      <w:strike w:val="0"/>
      <w:sz w:val="14"/>
      <w:szCs w:val="14"/>
      <w:u w:val="none"/>
    </w:rPr>
  </w:style>
  <w:style w:type="character" w:customStyle="1" w:styleId="a6">
    <w:name w:val="Подпись к картинке_"/>
    <w:basedOn w:val="a0"/>
    <w:link w:val="a7"/>
    <w:rPr>
      <w:rFonts w:ascii="Arial" w:eastAsia="Arial" w:hAnsi="Arial" w:cs="Arial"/>
      <w:b w:val="0"/>
      <w:bCs w:val="0"/>
      <w:i w:val="0"/>
      <w:iCs w:val="0"/>
      <w:smallCaps w:val="0"/>
      <w:strike w:val="0"/>
      <w:color w:val="68747F"/>
      <w:sz w:val="13"/>
      <w:szCs w:val="13"/>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Arial Black" w:eastAsia="Arial Black" w:hAnsi="Arial Black" w:cs="Arial Black"/>
      <w:b/>
      <w:bCs/>
      <w:i w:val="0"/>
      <w:iCs w:val="0"/>
      <w:smallCaps w:val="0"/>
      <w:strike w:val="0"/>
      <w:sz w:val="15"/>
      <w:szCs w:val="15"/>
      <w:u w:val="none"/>
    </w:rPr>
  </w:style>
  <w:style w:type="character" w:customStyle="1" w:styleId="21">
    <w:name w:val="Основной текст (2)_"/>
    <w:basedOn w:val="a0"/>
    <w:link w:val="22"/>
    <w:rPr>
      <w:rFonts w:ascii="Arial Black" w:eastAsia="Arial Black" w:hAnsi="Arial Black" w:cs="Arial Black"/>
      <w:b/>
      <w:bCs/>
      <w:i w:val="0"/>
      <w:iCs w:val="0"/>
      <w:smallCaps w:val="0"/>
      <w:strike w:val="0"/>
      <w:sz w:val="15"/>
      <w:szCs w:val="15"/>
      <w:u w:val="none"/>
    </w:rPr>
  </w:style>
  <w:style w:type="paragraph" w:customStyle="1" w:styleId="a4">
    <w:name w:val="Сноска"/>
    <w:basedOn w:val="a"/>
    <w:link w:val="a3"/>
    <w:rPr>
      <w:rFonts w:ascii="Arial" w:eastAsia="Arial" w:hAnsi="Arial" w:cs="Arial"/>
      <w:color w:val="365B8A"/>
      <w:sz w:val="12"/>
      <w:szCs w:val="12"/>
      <w:u w:val="single"/>
      <w:lang w:val="en-US" w:eastAsia="en-US" w:bidi="en-US"/>
    </w:rPr>
  </w:style>
  <w:style w:type="paragraph" w:customStyle="1" w:styleId="1">
    <w:name w:val="Основной текст1"/>
    <w:basedOn w:val="a"/>
    <w:link w:val="a5"/>
    <w:pPr>
      <w:spacing w:after="200" w:line="312" w:lineRule="auto"/>
    </w:pPr>
    <w:rPr>
      <w:rFonts w:ascii="Arial" w:eastAsia="Arial" w:hAnsi="Arial" w:cs="Arial"/>
      <w:sz w:val="14"/>
      <w:szCs w:val="14"/>
    </w:rPr>
  </w:style>
  <w:style w:type="paragraph" w:customStyle="1" w:styleId="a7">
    <w:name w:val="Подпись к картинке"/>
    <w:basedOn w:val="a"/>
    <w:link w:val="a6"/>
    <w:pPr>
      <w:spacing w:after="40"/>
    </w:pPr>
    <w:rPr>
      <w:rFonts w:ascii="Arial" w:eastAsia="Arial" w:hAnsi="Arial" w:cs="Arial"/>
      <w:color w:val="68747F"/>
      <w:sz w:val="13"/>
      <w:szCs w:val="13"/>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00"/>
      <w:outlineLvl w:val="0"/>
    </w:pPr>
    <w:rPr>
      <w:rFonts w:ascii="Arial Black" w:eastAsia="Arial Black" w:hAnsi="Arial Black" w:cs="Arial Black"/>
      <w:b/>
      <w:bCs/>
      <w:sz w:val="15"/>
      <w:szCs w:val="15"/>
    </w:rPr>
  </w:style>
  <w:style w:type="paragraph" w:customStyle="1" w:styleId="22">
    <w:name w:val="Основной текст (2)"/>
    <w:basedOn w:val="a"/>
    <w:link w:val="21"/>
    <w:pPr>
      <w:spacing w:after="240"/>
    </w:pPr>
    <w:rPr>
      <w:rFonts w:ascii="Arial Black" w:eastAsia="Arial Black" w:hAnsi="Arial Black" w:cs="Arial Black"/>
      <w:b/>
      <w:bCs/>
      <w:sz w:val="15"/>
      <w:szCs w:val="15"/>
    </w:rPr>
  </w:style>
  <w:style w:type="paragraph" w:styleId="a8">
    <w:name w:val="header"/>
    <w:basedOn w:val="a"/>
    <w:link w:val="a9"/>
    <w:uiPriority w:val="99"/>
    <w:unhideWhenUsed/>
    <w:rsid w:val="00BF5437"/>
    <w:pPr>
      <w:tabs>
        <w:tab w:val="center" w:pos="4677"/>
        <w:tab w:val="right" w:pos="9355"/>
      </w:tabs>
    </w:pPr>
  </w:style>
  <w:style w:type="character" w:customStyle="1" w:styleId="a9">
    <w:name w:val="Верхний колонтитул Знак"/>
    <w:basedOn w:val="a0"/>
    <w:link w:val="a8"/>
    <w:uiPriority w:val="99"/>
    <w:rsid w:val="00BF5437"/>
    <w:rPr>
      <w:color w:val="000000"/>
    </w:rPr>
  </w:style>
  <w:style w:type="paragraph" w:styleId="aa">
    <w:name w:val="footer"/>
    <w:basedOn w:val="a"/>
    <w:link w:val="ab"/>
    <w:uiPriority w:val="99"/>
    <w:unhideWhenUsed/>
    <w:rsid w:val="00BF5437"/>
    <w:pPr>
      <w:tabs>
        <w:tab w:val="center" w:pos="4677"/>
        <w:tab w:val="right" w:pos="9355"/>
      </w:tabs>
    </w:pPr>
  </w:style>
  <w:style w:type="character" w:customStyle="1" w:styleId="ab">
    <w:name w:val="Нижний колонтитул Знак"/>
    <w:basedOn w:val="a0"/>
    <w:link w:val="aa"/>
    <w:uiPriority w:val="99"/>
    <w:rsid w:val="00BF543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8992</Words>
  <Characters>5126</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cp:lastModifiedBy>
  <cp:revision>4</cp:revision>
  <dcterms:created xsi:type="dcterms:W3CDTF">2023-09-12T07:51:00Z</dcterms:created>
  <dcterms:modified xsi:type="dcterms:W3CDTF">2023-09-12T08:15:00Z</dcterms:modified>
</cp:coreProperties>
</file>